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双鸭山市应急管理局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按照《中华人民共和国政府信息公开条例》（中华人民共和国国务院令第711号，以下简称《条例》）和国务院办公厅政府信息与政务公开办公室关于印发《中华人民共和国政府信息公开工作年度报告格式》的通知（国办公开办函〔2021〕30号）要求，现发布《双鸭山市应急管理局2025年政府信息公开工作年度报告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6"/>
          <w:sz w:val="32"/>
          <w:szCs w:val="32"/>
          <w:highlight w:val="none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2025年，市应急管理局高度重视政府信息公开工作，认真贯彻执行《中华人民共和国政府信息公开条例》有关规定，认真学习和领会上级部门关于政府信息公开的指示精神，转变行政观念，以提升政务公开质量为核心，将政府信息公开工作作为推进应急管理体系和能力现代化、保障公众知情权与监督权的重要抓手，围绕安全生产监管、应急管理、减灾救灾等重点领域，全面、深入、细致地推进政府信息公开工作，切实增强信息公开的实效性和服务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1.主动公开方面。结合工作实际完善法定主动公开内容，及时发布政府信息，切实加大主动公开力度。市应急局公开财政预算、决算信息2条，公开安全生产监督检查情况信息63条，公益性岗位招考的职位、名额、报考条件等事项以及录用结果信息2条。微信公众号发布345条，今日头条发布197条。办理行政处罚案件16件。政府集中采购44项，采购总金额4009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2.依申请公开方面。全年共办理依申请公开3件，严格遵循“合法合规、严谨规范”原则，通过“受理—审查—答复”闭环流程，确保申请人诉求得到及时回应。每份答复均征求业务科室意见，强化与申请人的沟通释疑，从源头减少矛盾纠纷。2025年未发生因信息公开引发的行政复议或诉讼案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3.政府信息管理方面。建立信息管理动态调整机制，指定专人负责信息公开工作，修订完善信息发布、审查制度，严格落实“三审三校”机制，确保信息准确性。全年未出现因信息发布失误引发的舆情事件。同时，加强信息员培训，通过参加省、市专题培训及内部业务交流，提升信息发布专业化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4.政府信息公开平台建设方面。我局严格按照市直部门政府信息公开目录规范和相关要求，及时对我局信息公开目录进行完善。全面推行政府网站集约化建设，根据部门职能，优化信息公开栏目设置，利用新媒体平台扩大传播覆盖面，微信公众号、今日头条等平台累计发布信息超千条，阅读量突破10万次。针对季节性安全风险，分类发布企业安全警示、防汛指南等实用信息，增强公众安全意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5.监督保障方面。建立局门户网站及信息平台的信息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shd w:val="clear" w:fill="FFFFFF"/>
          <w:lang w:val="en-US" w:eastAsia="zh-CN" w:bidi="ar"/>
        </w:rPr>
        <w:t>督查和考评机制，将信息公开工作纳入局机关年度考核体系，实行“月统计、季通报、年考评”机制，每月对各科室信息发布量、时效性进行督查，结果与年终评优挂钩。开展专题培训，覆盖全局信息员及下属单位负责人，强化责任意识与业务能力。同时，主动接受社会监督，通过“局长信箱”“12345热线”等渠道收集群众意见，及时回应关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3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4"/>
        <w:tblW w:w="973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22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22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436"/>
        <w:gridCol w:w="2489"/>
        <w:gridCol w:w="662"/>
        <w:gridCol w:w="662"/>
        <w:gridCol w:w="662"/>
        <w:gridCol w:w="662"/>
        <w:gridCol w:w="662"/>
        <w:gridCol w:w="699"/>
        <w:gridCol w:w="7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0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 </w:t>
            </w:r>
          </w:p>
        </w:tc>
        <w:tc>
          <w:tcPr>
            <w:tcW w:w="4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0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自然人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0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商业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企业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科研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机构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社会公益组织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法律服务机构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4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4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114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4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49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 w:firstLine="4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46"/>
        <w:gridCol w:w="646"/>
        <w:gridCol w:w="646"/>
        <w:gridCol w:w="661"/>
        <w:gridCol w:w="646"/>
        <w:gridCol w:w="646"/>
        <w:gridCol w:w="646"/>
        <w:gridCol w:w="646"/>
        <w:gridCol w:w="661"/>
        <w:gridCol w:w="646"/>
        <w:gridCol w:w="646"/>
        <w:gridCol w:w="646"/>
        <w:gridCol w:w="646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2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总计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未经复议直接起诉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其他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尚未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我局秉持严谨务实的工作态度，以积极作为、细致推进、尽责担当的行动举措，推动政府信息公开工作取得了新的突破，但对照新要求与群众期待仍有不足：一是公开深度不足，部分政策解读停于表面，缺乏内涵与实施路径解读，安全生产、防灾减灾领域“重结果、轻过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，工作难点、堵点公开不够。二是宣传工作推进力度不足，宣传覆盖范围较窄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未能针对不同群体（如老年人、企业主体等）开展精准化宣传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渠道融合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度有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待提升，官网、微信公众号等平台联动不足，线下渠道（政务公开栏、资料索取架）更新不及时，作用未充分发挥。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学习，提升专业性。认真学习《条例》，全面、准确把握《条例》的精神实质，同时组织业务人员系统学习政策解读规范与安全生产、防灾减灾领域专业知识，邀请专家拆解政策内涵与实施路径，明确解读需涵盖的核心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  <w:t>素，确保对政策的理解具有准确性。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val="en-US" w:eastAsia="zh-CN"/>
        </w:rPr>
        <w:t>相关业务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人员结合政策学习成果，将公开内容从“结果公示”向“过程阐释+难点分析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fill="FFFFFF"/>
        </w:rPr>
        <w:t>延伸，以专业解读提升信息公开深度。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二是深化公开内容，提升针对性。聚焦应急管理重点领域，扩大公开范围，加大安全生产专项整治、重大事故隐患排查治理等信息公开力度，做到 “应公开尽公开”，邀请业务骨干、专家参与，解读政策细节；针对复杂政策制作案例式、场景式材料，增强通俗性。​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三是整合公开渠道，提升传播力。加强官网与新媒体协同，建立“一次采集、多次生成、多端发布”机制，避免信息重复滞后；优化新媒体栏目，突出应急预警、科普知识等内容。活化线下渠道，定期更新公开栏与资料架，增加线下信息公开活动频次，扩大群众参与范围，增进互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F40C1"/>
    <w:rsid w:val="08055CAB"/>
    <w:rsid w:val="0B332B30"/>
    <w:rsid w:val="0E4C6917"/>
    <w:rsid w:val="10E24BEF"/>
    <w:rsid w:val="137333F8"/>
    <w:rsid w:val="13B82867"/>
    <w:rsid w:val="149A53D9"/>
    <w:rsid w:val="176D5FB2"/>
    <w:rsid w:val="19216AC6"/>
    <w:rsid w:val="1A3E5F99"/>
    <w:rsid w:val="24B0423F"/>
    <w:rsid w:val="25EC61C5"/>
    <w:rsid w:val="2F3E0050"/>
    <w:rsid w:val="33AE6D56"/>
    <w:rsid w:val="36E43C84"/>
    <w:rsid w:val="3DF504B9"/>
    <w:rsid w:val="3EC7EC29"/>
    <w:rsid w:val="410A7B95"/>
    <w:rsid w:val="4457512C"/>
    <w:rsid w:val="471D6E91"/>
    <w:rsid w:val="47315859"/>
    <w:rsid w:val="4B3F163E"/>
    <w:rsid w:val="551C08B3"/>
    <w:rsid w:val="58DA7055"/>
    <w:rsid w:val="5B3823B7"/>
    <w:rsid w:val="5BE659D3"/>
    <w:rsid w:val="5C5B10FD"/>
    <w:rsid w:val="639B507A"/>
    <w:rsid w:val="65441BB2"/>
    <w:rsid w:val="69CD62F0"/>
    <w:rsid w:val="6DD90074"/>
    <w:rsid w:val="6F38687F"/>
    <w:rsid w:val="737F40C1"/>
    <w:rsid w:val="73A87D4E"/>
    <w:rsid w:val="7B0B75EA"/>
    <w:rsid w:val="7D3A787F"/>
    <w:rsid w:val="7F9057D5"/>
    <w:rsid w:val="7F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1322</Words>
  <Characters>1362</Characters>
  <Lines>0</Lines>
  <Paragraphs>0</Paragraphs>
  <TotalTime>149</TotalTime>
  <ScaleCrop>false</ScaleCrop>
  <LinksUpToDate>false</LinksUpToDate>
  <CharactersWithSpaces>1367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2025-02-19T18:11:00Z</dcterms:created>
  <dc:creator>WPS_1509690962</dc:creator>
  <cp:lastModifiedBy>greatwall</cp:lastModifiedBy>
  <dcterms:modified xsi:type="dcterms:W3CDTF">2026-01-19T09:22:47Z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32AD92FA25D5419D8C515AA6E7AAF9D1_13</vt:lpwstr>
  </property>
  <property fmtid="{D5CDD505-2E9C-101B-9397-08002B2CF9AE}" pid="4" name="KSOTemplateDocerSaveRecord">
    <vt:lpwstr>eyJoZGlkIjoiOWM4N2NmYjAwZjM5ODIyMjNhNDNmNjQzYTExNGU2MWUiLCJ1c2VySWQiOiI0MjI5OTQ3MzcifQ==</vt:lpwstr>
  </property>
</Properties>
</file>